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786B9" w14:textId="77777777" w:rsidR="001904A4" w:rsidRPr="0050065C" w:rsidRDefault="00F2031C" w:rsidP="00880D75">
      <w:pPr>
        <w:pStyle w:val="berschrift1"/>
        <w:tabs>
          <w:tab w:val="left" w:pos="7810"/>
          <w:tab w:val="left" w:pos="8250"/>
        </w:tabs>
        <w:ind w:right="1260"/>
      </w:pPr>
      <w:r w:rsidRPr="0050065C">
        <w:t>Pressemitteilung</w:t>
      </w:r>
    </w:p>
    <w:p w14:paraId="79F86E73"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04942A90" wp14:editId="43317A0E">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3422D6B7" w14:textId="77777777" w:rsidR="0050065C" w:rsidRDefault="0050065C">
                            <w:pPr>
                              <w:rPr>
                                <w:b/>
                                <w:sz w:val="18"/>
                                <w:szCs w:val="18"/>
                              </w:rPr>
                            </w:pPr>
                            <w:r>
                              <w:rPr>
                                <w:b/>
                                <w:sz w:val="18"/>
                                <w:szCs w:val="18"/>
                              </w:rPr>
                              <w:t>Kontakt</w:t>
                            </w:r>
                          </w:p>
                          <w:p w14:paraId="379407D8"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42A90"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3422D6B7" w14:textId="77777777" w:rsidR="0050065C" w:rsidRDefault="0050065C">
                      <w:pPr>
                        <w:rPr>
                          <w:b/>
                          <w:sz w:val="18"/>
                          <w:szCs w:val="18"/>
                        </w:rPr>
                      </w:pPr>
                      <w:r>
                        <w:rPr>
                          <w:b/>
                          <w:sz w:val="18"/>
                          <w:szCs w:val="18"/>
                        </w:rPr>
                        <w:t>Kontakt</w:t>
                      </w:r>
                    </w:p>
                    <w:p w14:paraId="379407D8"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4AB22CBC" w14:textId="3E54BF80" w:rsidR="00873FC1" w:rsidRDefault="0073546F" w:rsidP="00D54AA8">
      <w:pPr>
        <w:rPr>
          <w:rFonts w:cs="Arial"/>
          <w:b/>
          <w:bCs/>
          <w:iCs/>
          <w:sz w:val="28"/>
          <w:szCs w:val="28"/>
        </w:rPr>
      </w:pPr>
      <w:r>
        <w:rPr>
          <w:rFonts w:cs="Arial"/>
          <w:b/>
          <w:bCs/>
          <w:iCs/>
          <w:sz w:val="28"/>
          <w:szCs w:val="28"/>
        </w:rPr>
        <w:t>Schunk präsentiert</w:t>
      </w:r>
      <w:r w:rsidR="00873FC1" w:rsidRPr="00873FC1">
        <w:rPr>
          <w:rFonts w:cs="Arial"/>
          <w:b/>
          <w:bCs/>
          <w:iCs/>
          <w:sz w:val="28"/>
          <w:szCs w:val="28"/>
        </w:rPr>
        <w:t xml:space="preserve"> sich dem Nachwuchs</w:t>
      </w:r>
    </w:p>
    <w:p w14:paraId="306B04FC" w14:textId="77777777" w:rsidR="00205C59" w:rsidRPr="000A3196" w:rsidRDefault="00873FC1" w:rsidP="00D54AA8">
      <w:r w:rsidRPr="00873FC1">
        <w:rPr>
          <w:b/>
        </w:rPr>
        <w:t>Rund 350 Studierende informierten sich bei Campus@Schunk</w:t>
      </w:r>
      <w:r w:rsidR="00227612">
        <w:rPr>
          <w:b/>
        </w:rPr>
        <w:br/>
      </w:r>
    </w:p>
    <w:p w14:paraId="14AB057A" w14:textId="7EA37C44" w:rsidR="00873FC1" w:rsidRDefault="006657D6" w:rsidP="00D54AA8">
      <w:pPr>
        <w:tabs>
          <w:tab w:val="left" w:pos="7480"/>
        </w:tabs>
        <w:spacing w:line="360" w:lineRule="auto"/>
        <w:rPr>
          <w:b/>
        </w:rPr>
      </w:pPr>
      <w:r w:rsidRPr="0050065C">
        <w:rPr>
          <w:b/>
        </w:rPr>
        <w:t xml:space="preserve">Heuchelheim, </w:t>
      </w:r>
      <w:r w:rsidR="00FE0E84">
        <w:rPr>
          <w:b/>
        </w:rPr>
        <w:t>11</w:t>
      </w:r>
      <w:r w:rsidR="00873FC1">
        <w:rPr>
          <w:b/>
        </w:rPr>
        <w:t>. Dezember 2017</w:t>
      </w:r>
      <w:r w:rsidR="0050065C">
        <w:rPr>
          <w:b/>
        </w:rPr>
        <w:t xml:space="preserve"> –</w:t>
      </w:r>
      <w:r w:rsidRPr="0050065C">
        <w:rPr>
          <w:b/>
        </w:rPr>
        <w:t xml:space="preserve"> </w:t>
      </w:r>
      <w:r w:rsidR="00873FC1" w:rsidRPr="00873FC1">
        <w:rPr>
          <w:b/>
        </w:rPr>
        <w:t>Schon die erste Auflage war ein voller Erfolg – rund 350 Studierende besuchten den Karrieretag „Campus@Schunk“, der Ende Nov</w:t>
      </w:r>
      <w:r w:rsidR="00A62D96">
        <w:rPr>
          <w:b/>
        </w:rPr>
        <w:t>ember in Heuchelheim stattfand.</w:t>
      </w:r>
    </w:p>
    <w:p w14:paraId="7FFDC932" w14:textId="5AFD8876" w:rsidR="00873FC1" w:rsidRPr="00873FC1" w:rsidRDefault="00873FC1" w:rsidP="00873FC1">
      <w:pPr>
        <w:tabs>
          <w:tab w:val="left" w:pos="7480"/>
        </w:tabs>
        <w:spacing w:line="360" w:lineRule="auto"/>
        <w:ind w:right="-6"/>
      </w:pPr>
      <w:r w:rsidRPr="00873FC1">
        <w:t>Das Ziel war, Studierende über die Region hinaus anzusprechen, auf Schunk aufmerksam zu machen und die Schunk Group als Technologiekonzern und als poten</w:t>
      </w:r>
      <w:r w:rsidR="0073546F">
        <w:t>z</w:t>
      </w:r>
      <w:r w:rsidRPr="00873FC1">
        <w:t>iellen Arbeitgeber vorzustellen. Unter den rund 350 Besuchern waren Studierende der großen technischen Universitäten Darmstadt, Karlsruhe und Aachen, sowie a</w:t>
      </w:r>
      <w:bookmarkStart w:id="0" w:name="_GoBack"/>
      <w:bookmarkEnd w:id="0"/>
      <w:r w:rsidRPr="00873FC1">
        <w:t>us Hamburg und natürlich auch aus Gießen und Friedberg.</w:t>
      </w:r>
    </w:p>
    <w:p w14:paraId="461C85FD" w14:textId="77777777" w:rsidR="00873FC1" w:rsidRPr="00873FC1" w:rsidRDefault="00873FC1" w:rsidP="00873FC1">
      <w:pPr>
        <w:tabs>
          <w:tab w:val="left" w:pos="7480"/>
        </w:tabs>
        <w:spacing w:line="360" w:lineRule="auto"/>
        <w:ind w:right="-6"/>
      </w:pPr>
      <w:r w:rsidRPr="00873FC1">
        <w:t xml:space="preserve">„Wir konnten viele interessante Gespräche führen und Kontakte knüpfen. Die Besucher waren sehr interessiert und ihre Rückmeldungen durchweg positiv“, resümiert Personalleiter Steffen Friedrich. </w:t>
      </w:r>
    </w:p>
    <w:p w14:paraId="4F4D1A71" w14:textId="77777777" w:rsidR="00873FC1" w:rsidRPr="000D0A40" w:rsidRDefault="00873FC1" w:rsidP="00873FC1">
      <w:pPr>
        <w:tabs>
          <w:tab w:val="left" w:pos="7480"/>
        </w:tabs>
        <w:spacing w:line="360" w:lineRule="auto"/>
        <w:ind w:right="-6"/>
        <w:rPr>
          <w:b/>
        </w:rPr>
      </w:pPr>
      <w:r w:rsidRPr="000D0A40">
        <w:rPr>
          <w:b/>
        </w:rPr>
        <w:t>Technologie und Karriere</w:t>
      </w:r>
    </w:p>
    <w:p w14:paraId="5BFC5197" w14:textId="169ACC6D" w:rsidR="00873FC1" w:rsidRDefault="00873FC1" w:rsidP="00873FC1">
      <w:pPr>
        <w:tabs>
          <w:tab w:val="left" w:pos="7480"/>
        </w:tabs>
        <w:spacing w:line="360" w:lineRule="auto"/>
        <w:ind w:right="-6"/>
      </w:pPr>
      <w:r w:rsidRPr="00873FC1">
        <w:t xml:space="preserve">Am Nachmittag fand ein Rahmenprogramm mit Vorträgen zu Berufseinstieg, Karriere und Schunk Technologien statt. Den Abschluss bildete eine Podiumsdiskussion mit Teilnehmern </w:t>
      </w:r>
      <w:r w:rsidR="0073546F">
        <w:t>von Schunk</w:t>
      </w:r>
      <w:r w:rsidRPr="00873FC1">
        <w:t xml:space="preserve"> und zwei Professoren der Technischen Hochschule Mittelhessen. Außerdem hatten die Studierenden die Möglichkeit, an einer Werksbesichtigung teilzunehmen, in einer Ausstellung die vier Divisions der Schunk Group kennenzulernen, mit Personalern zu sprechen oder ih</w:t>
      </w:r>
      <w:r w:rsidR="0073546F">
        <w:t>re Bewerbung checken zu lassen.</w:t>
      </w:r>
    </w:p>
    <w:p w14:paraId="79D30750" w14:textId="35327468" w:rsidR="00CC0D6A" w:rsidRPr="00EC15E5" w:rsidRDefault="00CC0D6A" w:rsidP="00873FC1">
      <w:pPr>
        <w:tabs>
          <w:tab w:val="left" w:pos="7480"/>
        </w:tabs>
        <w:spacing w:line="360" w:lineRule="auto"/>
        <w:ind w:right="-6"/>
      </w:pPr>
      <w:r w:rsidRPr="00EC15E5">
        <w:t>(</w:t>
      </w:r>
      <w:r w:rsidR="0073546F">
        <w:t>1.340</w:t>
      </w:r>
      <w:r w:rsidR="00EC15E5" w:rsidRPr="00EC15E5">
        <w:t xml:space="preserve"> Zeichen inkl. Leerzeichen)</w:t>
      </w:r>
    </w:p>
    <w:p w14:paraId="2FCC72C3" w14:textId="77777777" w:rsidR="00225088" w:rsidRPr="00EC15E5" w:rsidRDefault="00225088" w:rsidP="00880D75">
      <w:pPr>
        <w:tabs>
          <w:tab w:val="left" w:pos="7810"/>
          <w:tab w:val="left" w:pos="8250"/>
        </w:tabs>
        <w:spacing w:line="360" w:lineRule="auto"/>
        <w:ind w:right="1260"/>
        <w:rPr>
          <w:b/>
          <w:iCs/>
          <w:sz w:val="18"/>
          <w:szCs w:val="18"/>
        </w:rPr>
      </w:pPr>
    </w:p>
    <w:p w14:paraId="515B6F7E"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lastRenderedPageBreak/>
        <w:t>Bild</w:t>
      </w:r>
      <w:r w:rsidR="0050065C" w:rsidRPr="0050065C">
        <w:rPr>
          <w:b/>
          <w:iCs/>
          <w:sz w:val="18"/>
          <w:szCs w:val="18"/>
        </w:rPr>
        <w:t>material</w:t>
      </w:r>
      <w:r w:rsidRPr="0050065C">
        <w:rPr>
          <w:b/>
          <w:iCs/>
          <w:sz w:val="18"/>
          <w:szCs w:val="18"/>
        </w:rPr>
        <w:t>:</w:t>
      </w:r>
    </w:p>
    <w:p w14:paraId="3BD107A5" w14:textId="2A34BF6D" w:rsidR="00921469" w:rsidRDefault="00A548E9" w:rsidP="009061A1">
      <w:pPr>
        <w:tabs>
          <w:tab w:val="left" w:pos="7810"/>
          <w:tab w:val="left" w:pos="8250"/>
        </w:tabs>
        <w:spacing w:line="360" w:lineRule="auto"/>
        <w:ind w:right="-1"/>
        <w:rPr>
          <w:iCs/>
          <w:sz w:val="18"/>
          <w:szCs w:val="18"/>
        </w:rPr>
      </w:pPr>
      <w:r>
        <w:rPr>
          <w:iCs/>
          <w:sz w:val="18"/>
          <w:szCs w:val="18"/>
        </w:rPr>
        <w:t>Campus@Schunk1</w:t>
      </w:r>
      <w:r w:rsidR="00A95663">
        <w:rPr>
          <w:iCs/>
          <w:sz w:val="18"/>
          <w:szCs w:val="18"/>
        </w:rPr>
        <w:t>.jpg</w:t>
      </w:r>
      <w:r w:rsidR="0050065C">
        <w:rPr>
          <w:iCs/>
          <w:sz w:val="18"/>
          <w:szCs w:val="18"/>
        </w:rPr>
        <w:t xml:space="preserve">: </w:t>
      </w:r>
      <w:r>
        <w:rPr>
          <w:iCs/>
          <w:sz w:val="18"/>
          <w:szCs w:val="18"/>
        </w:rPr>
        <w:t>Rund 350 Studierende besuchten den Karrieretag „Campus@Schunk“ und informierten sich über die Technologien der Schunk Group sowie Einstiegsmöglichkeiten.</w:t>
      </w:r>
    </w:p>
    <w:p w14:paraId="44A0809B" w14:textId="4EC6E2CE" w:rsidR="00A548E9" w:rsidRPr="0050065C" w:rsidRDefault="00A548E9" w:rsidP="009061A1">
      <w:pPr>
        <w:tabs>
          <w:tab w:val="left" w:pos="7810"/>
          <w:tab w:val="left" w:pos="8250"/>
        </w:tabs>
        <w:spacing w:line="360" w:lineRule="auto"/>
        <w:ind w:right="-1"/>
        <w:rPr>
          <w:iCs/>
          <w:sz w:val="18"/>
          <w:szCs w:val="18"/>
        </w:rPr>
      </w:pPr>
      <w:r w:rsidRPr="00D7770F">
        <w:rPr>
          <w:sz w:val="18"/>
          <w:szCs w:val="18"/>
        </w:rPr>
        <w:t>Campus@Schunk2.jpg</w:t>
      </w:r>
      <w:r>
        <w:rPr>
          <w:iCs/>
          <w:sz w:val="18"/>
          <w:szCs w:val="18"/>
        </w:rPr>
        <w:t xml:space="preserve">: </w:t>
      </w:r>
      <w:r w:rsidR="00D7770F">
        <w:rPr>
          <w:iCs/>
          <w:sz w:val="18"/>
          <w:szCs w:val="18"/>
        </w:rPr>
        <w:t>Dr. Arno Roth, Vorsitzender der Unternehmensleitung der Schunk Group, begrüßte die Studierenden und stellte ihnen die vier Divisions mit ihren Tätigkeitsbereichen vor.</w:t>
      </w:r>
    </w:p>
    <w:p w14:paraId="5D1F1ABC"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0D517751" w14:textId="77777777" w:rsidR="0050065C" w:rsidRDefault="0050065C" w:rsidP="009061A1">
      <w:pPr>
        <w:tabs>
          <w:tab w:val="left" w:pos="7810"/>
          <w:tab w:val="left" w:pos="8250"/>
        </w:tabs>
        <w:spacing w:line="360" w:lineRule="auto"/>
        <w:ind w:right="-1"/>
        <w:rPr>
          <w:iCs/>
        </w:rPr>
      </w:pPr>
    </w:p>
    <w:p w14:paraId="095B09D0"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D959B5">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hat 2016 einen Umsatz von 1,1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8A927" w14:textId="77777777" w:rsidR="00873FC1" w:rsidRDefault="00873FC1" w:rsidP="00437FEE">
      <w:pPr>
        <w:spacing w:after="0"/>
      </w:pPr>
      <w:r>
        <w:separator/>
      </w:r>
    </w:p>
  </w:endnote>
  <w:endnote w:type="continuationSeparator" w:id="0">
    <w:p w14:paraId="7D2C0662" w14:textId="77777777" w:rsidR="00873FC1" w:rsidRDefault="00873FC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251B" w14:textId="3DC481D2"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A62D96">
      <w:rPr>
        <w:noProof/>
      </w:rPr>
      <w:t>2</w:t>
    </w:r>
    <w:r w:rsidRPr="0050065C">
      <w:fldChar w:fldCharType="end"/>
    </w:r>
    <w:r w:rsidRPr="0050065C">
      <w:t xml:space="preserve"> / </w:t>
    </w:r>
    <w:r w:rsidR="00A62D96">
      <w:fldChar w:fldCharType="begin"/>
    </w:r>
    <w:r w:rsidR="00A62D96">
      <w:instrText>NUMPAGES  \* Arabic  \* MERGEFORMAT</w:instrText>
    </w:r>
    <w:r w:rsidR="00A62D96">
      <w:fldChar w:fldCharType="separate"/>
    </w:r>
    <w:r w:rsidR="00A62D96">
      <w:rPr>
        <w:noProof/>
      </w:rPr>
      <w:t>2</w:t>
    </w:r>
    <w:r w:rsidR="00A62D9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CC86" w14:textId="6583C0BD"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73546F">
      <w:rPr>
        <w:b/>
        <w:noProof/>
      </w:rPr>
      <w:t>2</w:t>
    </w:r>
    <w:r>
      <w:rPr>
        <w:b/>
      </w:rPr>
      <w:fldChar w:fldCharType="end"/>
    </w:r>
  </w:p>
  <w:p w14:paraId="18C2323C"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A09F7" w14:textId="77777777" w:rsidR="00873FC1" w:rsidRDefault="00873FC1" w:rsidP="00437FEE">
      <w:pPr>
        <w:spacing w:after="0"/>
      </w:pPr>
      <w:r>
        <w:separator/>
      </w:r>
    </w:p>
  </w:footnote>
  <w:footnote w:type="continuationSeparator" w:id="0">
    <w:p w14:paraId="71DFC21A" w14:textId="77777777" w:rsidR="00873FC1" w:rsidRDefault="00873FC1"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4C72"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1412CD8F" wp14:editId="30649A0D">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80AF7F7" w14:textId="77777777" w:rsidTr="00ED35D6">
      <w:trPr>
        <w:trHeight w:val="357"/>
      </w:trPr>
      <w:tc>
        <w:tcPr>
          <w:tcW w:w="5670" w:type="dxa"/>
        </w:tcPr>
        <w:p w14:paraId="43A1FA45" w14:textId="77777777" w:rsidR="00994DDC" w:rsidRPr="00ED35D6" w:rsidRDefault="00994DDC" w:rsidP="00ED35D6">
          <w:pPr>
            <w:pStyle w:val="Kopfzeile"/>
            <w:jc w:val="right"/>
            <w:rPr>
              <w:b/>
              <w:sz w:val="24"/>
              <w:szCs w:val="24"/>
            </w:rPr>
          </w:pPr>
          <w:r w:rsidRPr="00ED35D6">
            <w:rPr>
              <w:b/>
              <w:sz w:val="24"/>
              <w:szCs w:val="24"/>
            </w:rPr>
            <w:t>Dokumenttitel</w:t>
          </w:r>
        </w:p>
      </w:tc>
    </w:tr>
  </w:tbl>
  <w:p w14:paraId="17D7A2D6"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1E76B9EB" wp14:editId="4BC7340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C1"/>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0A40"/>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5837"/>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3546F"/>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3FC1"/>
    <w:rsid w:val="00875208"/>
    <w:rsid w:val="008758C2"/>
    <w:rsid w:val="00880D75"/>
    <w:rsid w:val="00887379"/>
    <w:rsid w:val="00887E54"/>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548E9"/>
    <w:rsid w:val="00A607D0"/>
    <w:rsid w:val="00A62BFD"/>
    <w:rsid w:val="00A62D96"/>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7770F"/>
    <w:rsid w:val="00D91EDE"/>
    <w:rsid w:val="00D959B5"/>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45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E0E84"/>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05DFD"/>
  <w15:chartTrackingRefBased/>
  <w15:docId w15:val="{53B801FB-6D5B-4822-B8EA-8687E322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NichtaufgelsteErwhnung">
    <w:name w:val="Unresolved Mention"/>
    <w:basedOn w:val="Absatz-Standardschriftart"/>
    <w:uiPriority w:val="99"/>
    <w:semiHidden/>
    <w:unhideWhenUsed/>
    <w:rsid w:val="00A548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sdl-o365-communication/Freigegebene%20Dokumente/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10" ma:contentTypeDescription="Ein neues Dokument erstellen." ma:contentTypeScope="" ma:versionID="598542d7da45683581d2f5695944b3e1">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b94f1ca04779347486a1d13311429bbb"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8A601-6475-4548-AF8B-6C50889F6C0D}">
  <ds:schemaRefs>
    <ds:schemaRef ds:uri="http://schemas.microsoft.com/office/2006/documentManagement/types"/>
    <ds:schemaRef ds:uri="116dec6f-6abf-4cbd-acd6-8ea8038e5322"/>
    <ds:schemaRef ds:uri="http://purl.org/dc/terms/"/>
    <ds:schemaRef ds:uri="http://schemas.microsoft.com/office/infopath/2007/PartnerControls"/>
    <ds:schemaRef ds:uri="http://www.w3.org/XML/1998/namespace"/>
    <ds:schemaRef ds:uri="http://purl.org/dc/elements/1.1/"/>
    <ds:schemaRef ds:uri="73afbd23-c827-49c3-8215-788850e08f03"/>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3.xml><?xml version="1.0" encoding="utf-8"?>
<ds:datastoreItem xmlns:ds="http://schemas.openxmlformats.org/officeDocument/2006/customXml" ds:itemID="{F8CBC707-8F68-4810-877D-BDF63E192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Vorlage%20Pressemitteilung%20Schunk%20Group.dotx</Template>
  <TotalTime>0</TotalTime>
  <Pages>2</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Kristina Eckwert</dc:creator>
  <cp:keywords/>
  <cp:lastModifiedBy>Neill Busse</cp:lastModifiedBy>
  <cp:revision>9</cp:revision>
  <cp:lastPrinted>2017-12-07T11:18:00Z</cp:lastPrinted>
  <dcterms:created xsi:type="dcterms:W3CDTF">2017-12-05T14:07:00Z</dcterms:created>
  <dcterms:modified xsi:type="dcterms:W3CDTF">2017-12-11T10:32:00Z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